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0" w:right="0"/>
        <w:jc w:val="center"/>
        <w:rPr>
          <w:rFonts w:ascii="Calibri" w:cs="Calibri" w:eastAsia="Calibri" w:hAnsi="Calibri"/>
          <w:b w:val="1"/>
          <w:color w:val="000000"/>
          <w:sz w:val="38"/>
          <w:szCs w:val="38"/>
        </w:rPr>
      </w:pPr>
      <w:r w:rsidDel="00000000" w:rsidR="00000000" w:rsidRPr="00000000">
        <w:rPr>
          <w:rFonts w:ascii="Calibri" w:cs="Calibri" w:eastAsia="Calibri" w:hAnsi="Calibri"/>
          <w:b w:val="1"/>
          <w:color w:val="000000"/>
          <w:sz w:val="36"/>
          <w:szCs w:val="36"/>
          <w:rtl w:val="0"/>
        </w:rPr>
        <w:t xml:space="preserve"> </w:t>
      </w:r>
      <w:r w:rsidDel="00000000" w:rsidR="00000000" w:rsidRPr="00000000">
        <w:rPr>
          <w:rFonts w:ascii="Calibri" w:cs="Calibri" w:eastAsia="Calibri" w:hAnsi="Calibri"/>
          <w:b w:val="1"/>
          <w:color w:val="000000"/>
          <w:sz w:val="38"/>
          <w:szCs w:val="38"/>
          <w:rtl w:val="0"/>
        </w:rPr>
        <w:t xml:space="preserve">VI Kongres Archiwów Społecznych </w:t>
        <w:br w:type="textWrapping"/>
        <w:t xml:space="preserve">Historia, która włącza</w:t>
      </w:r>
    </w:p>
    <w:p w:rsidR="00000000" w:rsidDel="00000000" w:rsidP="00000000" w:rsidRDefault="00000000" w:rsidRPr="00000000" w14:paraId="00000002">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Od 24 do 26 października 2025 roku Warszawa stanie się miejscem spotkania osób, które na co dzień przywracają pamięci to, co nieoczywiste, pomijane lub zapomniane. VI Kongres Archiwów Społecznych odbędzie się pod hasłem „Historia, która włącza”,  koncentrując się na opowiadaniu o przeszłości poprzez różnorodne głosy                        i doświadczenia. Wydarzenia stacjonarne będą miały miejsce w Terminalu Kultury Gocław, natomiast na udział w części online można zgłaszać się do 24 października na platformie kongres.cas.org.pl. Organizatorem Kongresu jest Centrum Archiwistyki Społecznej, a partnerem tegorocznej edycji – Muzeum Warszawskiej Pragi.</w:t>
      </w:r>
      <w:r w:rsidDel="00000000" w:rsidR="00000000" w:rsidRPr="00000000">
        <w:rPr>
          <w:rtl w:val="0"/>
        </w:rPr>
      </w:r>
    </w:p>
    <w:p w:rsidR="00000000" w:rsidDel="00000000" w:rsidP="00000000" w:rsidRDefault="00000000" w:rsidRPr="00000000" w14:paraId="00000003">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Kongres to największe wydarzenie w Polsce poświęcone archiwistyce społecznej – dziedzinie, która umożliwia zachowanie historii i pamięci różnorodnych środowisk i społeczności. W całym kraju działa już ponad 800 archiwów społecznych, prowadzonych przez fundacje, stowarzyszenia, biblioteki, domu kultury i niesformalizowane grupy pasjonatów. To właśnie archiwiści i archiwistki społeczne dbają o to, żeby opowieści z rodzinnych albumów, starych kaset VHS, kronik czy osobistych wspomnień zyskały miejsce w zbiorowej pamięci.</w:t>
      </w:r>
      <w:r w:rsidDel="00000000" w:rsidR="00000000" w:rsidRPr="00000000">
        <w:rPr>
          <w:rtl w:val="0"/>
        </w:rPr>
      </w:r>
    </w:p>
    <w:p w:rsidR="00000000" w:rsidDel="00000000" w:rsidP="00000000" w:rsidRDefault="00000000" w:rsidRPr="00000000" w14:paraId="00000004">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Tegoroczna edycja Kongresu odbywa się pod hasłem „Historia, która włącza”. To okazja do wspólnego zastanowienia się, jak z większą uważnością i empatią tworzyć opowieści, które ukazują różnorodność i złożoność historii – tych lokalnych, osobistych, nie zawsze widzianych w oficjalnym nurcie. To także zaproszenie do rozmowy, w której każde doświadczenie ma znaczenie, a każda opowieść może stać się początkiem nowego spojrzenia na przeszłość i teraźniejszość.</w:t>
      </w:r>
    </w:p>
    <w:p w:rsidR="00000000" w:rsidDel="00000000" w:rsidP="00000000" w:rsidRDefault="00000000" w:rsidRPr="00000000" w14:paraId="00000005">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 programie tegorocznej edycji znajdą się prezentacje kilkunastu projektów kulturalnych, artystycznych i społecznych wyłonionych w ogólnopolskim naborze. Opowieści o biografiach zwierząt, miejskim folklorze robotniczych dzielnic, wielokulturowości zapisanej w szkolnych kronikach czy migracyjnych losach, opowiedziane przez lokalne archiwa, pokażą, jak różnorodne i bogate historie przechowywane są przez społeczności. </w:t>
      </w:r>
    </w:p>
    <w:p w:rsidR="00000000" w:rsidDel="00000000" w:rsidP="00000000" w:rsidRDefault="00000000" w:rsidRPr="00000000" w14:paraId="00000006">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Kongres to również przestrzeń praktyczna – warsztaty, panele, spotkania edukacyjne i sieciujące, podczas których poruszane będą m.in. tematy trudnej pamięci, nieobecnych głosów w narracjach historycznych, a także nowe sposoby pracy z materiałem archiwalnym – jak choćby wykorzystanie zinów jako narzędzia opowieści czy odkrywanie potencjału materiałów zamieszczonych na kasetach wideo.</w:t>
      </w:r>
    </w:p>
    <w:p w:rsidR="00000000" w:rsidDel="00000000" w:rsidP="00000000" w:rsidRDefault="00000000" w:rsidRPr="00000000" w14:paraId="00000007">
      <w:pPr>
        <w:spacing w:after="240" w:before="240" w:line="276" w:lineRule="auto"/>
        <w:ind w:left="0" w:right="0"/>
        <w:jc w:val="both"/>
        <w:rPr>
          <w:rFonts w:ascii="Arial" w:cs="Arial" w:eastAsia="Arial" w:hAnsi="Arial"/>
          <w:b w:val="1"/>
          <w:color w:val="1f3864"/>
          <w:sz w:val="22"/>
          <w:szCs w:val="22"/>
        </w:rPr>
      </w:pPr>
      <w:r w:rsidDel="00000000" w:rsidR="00000000" w:rsidRPr="00000000">
        <w:rPr>
          <w:rFonts w:ascii="Arial" w:cs="Arial" w:eastAsia="Arial" w:hAnsi="Arial"/>
          <w:color w:val="000000"/>
          <w:sz w:val="22"/>
          <w:szCs w:val="22"/>
          <w:rtl w:val="0"/>
        </w:rPr>
        <w:t xml:space="preserve">Na czas wydarzenia Terminal Kultury Gocław – centrum kultury na warszawskiej Pradze-Południe – stanie się miejscem wymiany doświadczeń osób zajmujących się archiwistyką społeczną, badaniami, edukacją, animacją kultury i sztuką z całego kraju. </w:t>
      </w:r>
      <w:r w:rsidDel="00000000" w:rsidR="00000000" w:rsidRPr="00000000">
        <w:rPr>
          <w:rtl w:val="0"/>
        </w:rPr>
      </w:r>
    </w:p>
    <w:p w:rsidR="00000000" w:rsidDel="00000000" w:rsidP="00000000" w:rsidRDefault="00000000" w:rsidRPr="00000000" w14:paraId="00000008">
      <w:pPr>
        <w:spacing w:after="240" w:before="240" w:line="276" w:lineRule="auto"/>
        <w:ind w:left="0" w:right="0"/>
        <w:jc w:val="both"/>
        <w:rPr>
          <w:rFonts w:ascii="Arial" w:cs="Arial" w:eastAsia="Arial" w:hAnsi="Arial"/>
          <w:b w:val="1"/>
          <w:color w:val="1f3864"/>
          <w:sz w:val="22"/>
          <w:szCs w:val="22"/>
        </w:rPr>
      </w:pPr>
      <w:r w:rsidDel="00000000" w:rsidR="00000000" w:rsidRPr="00000000">
        <w:rPr>
          <w:rFonts w:ascii="Arial" w:cs="Arial" w:eastAsia="Arial" w:hAnsi="Arial"/>
          <w:color w:val="000000"/>
          <w:sz w:val="22"/>
          <w:szCs w:val="22"/>
          <w:rtl w:val="0"/>
        </w:rPr>
        <w:t xml:space="preserve">W piątek, 24 października, program Kongresu będzie obejmował również wydarzenia towarzyszące – spacery tematyczne, wizyty studyjne i spotkania organizowane we współpracy z Muzeum Warszawskiej Pragi. </w:t>
      </w:r>
      <w:r w:rsidDel="00000000" w:rsidR="00000000" w:rsidRPr="00000000">
        <w:rPr>
          <w:rtl w:val="0"/>
        </w:rPr>
      </w:r>
    </w:p>
    <w:p w:rsidR="00000000" w:rsidDel="00000000" w:rsidP="00000000" w:rsidRDefault="00000000" w:rsidRPr="00000000" w14:paraId="00000009">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 kolei w sobotni wieczór, 25 października, w sali widowiskowej Terminalu Kultury Gocław odbędzie się spektakl „Moje ręce krzyczą” w wykonaniu Olsztyńskiego Teatru Głuchych. Przedstawienie, osadzone w doświadczeniu osób g/Głuchych, porusza temat codziennego funkcjonowania w świecie bez dźwięku i wyzwań związanych z koniecznością odnajdywania się w świecie zdominowanym przez słyszących. Spektakl wpisuje się w temat przewodni Kongresu, ukazując jednocześnie bogactwo i możliwości performatywne Polskiego Języka Migowego. Wydarzenie jest otwarte dla szerokiej publiczności, a po jego zakończeniu odbędzie się rozmowa twórców i twórczyń z widzami. Bilety dostępne są w kasach Terminalu oraz na stronie </w:t>
      </w:r>
      <w:hyperlink r:id="rId7">
        <w:r w:rsidDel="00000000" w:rsidR="00000000" w:rsidRPr="00000000">
          <w:rPr>
            <w:rFonts w:ascii="Arial" w:cs="Arial" w:eastAsia="Arial" w:hAnsi="Arial"/>
            <w:color w:val="1155cc"/>
            <w:sz w:val="22"/>
            <w:szCs w:val="22"/>
            <w:u w:val="single"/>
            <w:rtl w:val="0"/>
          </w:rPr>
          <w:t xml:space="preserve">terminalkultury.pl</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A">
      <w:pPr>
        <w:spacing w:after="240" w:before="240"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Rejestracja na stacjonarny udział w Kongresie została zakończona, jednak wciąż można dołączyć do wydarzenia online. Rejestracja do udziału online  trwa do 24 września 2025 roku do godz. 12.00 na platformie kongres.cas.org.pl, gdzie dostępny jest także szczegółowy program wydarzenia. Część sesji będzie tłumaczona na Polski Język Migowy.</w:t>
      </w:r>
    </w:p>
    <w:p w:rsidR="00000000" w:rsidDel="00000000" w:rsidP="00000000" w:rsidRDefault="00000000" w:rsidRPr="00000000" w14:paraId="0000000B">
      <w:pPr>
        <w:spacing w:after="240" w:before="240" w:line="348" w:lineRule="auto"/>
        <w:ind w:left="0" w:right="0"/>
        <w:rPr>
          <w:rFonts w:ascii="Arial" w:cs="Arial" w:eastAsia="Arial" w:hAnsi="Arial"/>
          <w:color w:val="1b1c1d"/>
          <w:sz w:val="22"/>
          <w:szCs w:val="22"/>
        </w:rPr>
      </w:pPr>
      <w:r w:rsidDel="00000000" w:rsidR="00000000" w:rsidRPr="00000000">
        <w:rPr>
          <w:rFonts w:ascii="Arial" w:cs="Arial" w:eastAsia="Arial" w:hAnsi="Arial"/>
          <w:color w:val="000000"/>
          <w:sz w:val="22"/>
          <w:szCs w:val="22"/>
          <w:rtl w:val="0"/>
        </w:rPr>
        <w:t xml:space="preserve">Więcej informacji o projekcie i działalności CAS: </w:t>
      </w:r>
      <w:hyperlink r:id="rId8">
        <w:r w:rsidDel="00000000" w:rsidR="00000000" w:rsidRPr="00000000">
          <w:rPr>
            <w:rFonts w:ascii="Arial" w:cs="Arial" w:eastAsia="Arial" w:hAnsi="Arial"/>
            <w:color w:val="0000ff"/>
            <w:sz w:val="22"/>
            <w:szCs w:val="22"/>
            <w:u w:val="single"/>
            <w:rtl w:val="0"/>
          </w:rPr>
          <w:t xml:space="preserve">cas.org.pl</w:t>
        </w:r>
      </w:hyperlink>
      <w:r w:rsidDel="00000000" w:rsidR="00000000" w:rsidRPr="00000000">
        <w:rPr>
          <w:rFonts w:ascii="Arial" w:cs="Arial" w:eastAsia="Arial" w:hAnsi="Arial"/>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0C">
      <w:pPr>
        <w:spacing w:line="276" w:lineRule="auto"/>
        <w:ind w:left="0" w:right="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w:t>
      </w:r>
    </w:p>
    <w:p w:rsidR="00000000" w:rsidDel="00000000" w:rsidP="00000000" w:rsidRDefault="00000000" w:rsidRPr="00000000" w14:paraId="0000000D">
      <w:pPr>
        <w:spacing w:line="276" w:lineRule="auto"/>
        <w:ind w:left="0" w:right="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Koordynacja Kongresu: Maria Mossakowska </w:t>
      </w:r>
    </w:p>
    <w:p w:rsidR="00000000" w:rsidDel="00000000" w:rsidP="00000000" w:rsidRDefault="00000000" w:rsidRPr="00000000" w14:paraId="0000000F">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Opieka merytoryczna: Joanna Łuba, Karolina Sakowicz  </w:t>
      </w:r>
    </w:p>
    <w:p w:rsidR="00000000" w:rsidDel="00000000" w:rsidP="00000000" w:rsidRDefault="00000000" w:rsidRPr="00000000" w14:paraId="00000010">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Zespół programowy-organizacyjny CAS: Agata Bujnowska, Ewa Hubar, Adriana Kapała, Andrzej Konopka, Monika Matusiak-Kondefer, Joanna Michałowska, Maria Mossakowska, Karolina Sakowicz, Dorota Sidor</w:t>
      </w:r>
    </w:p>
    <w:p w:rsidR="00000000" w:rsidDel="00000000" w:rsidP="00000000" w:rsidRDefault="00000000" w:rsidRPr="00000000" w14:paraId="00000011">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Promocja Kongresu: Marta Michalska (koordynacja), Małgorzata Kurczewska, Iwona Oleszczuk-Jaźwiecka, Milena Ryćkowska, Aneta Zdziech</w:t>
      </w:r>
    </w:p>
    <w:p w:rsidR="00000000" w:rsidDel="00000000" w:rsidP="00000000" w:rsidRDefault="00000000" w:rsidRPr="00000000" w14:paraId="00000012">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Wsparcie organizacyjne: Karolina Moczulak (koordynacja), Esila Adajewa, Anna Łojko, Sylwia Szewczak </w:t>
      </w:r>
    </w:p>
    <w:p w:rsidR="00000000" w:rsidDel="00000000" w:rsidP="00000000" w:rsidRDefault="00000000" w:rsidRPr="00000000" w14:paraId="00000013">
      <w:pPr>
        <w:spacing w:line="276"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Zespół programowo-organizacyjny Muzeum Warszawskiej Pragi: Ewelina Bartosik, Katarzyna Kuzko-Zwierz </w:t>
      </w:r>
    </w:p>
    <w:p w:rsidR="00000000" w:rsidDel="00000000" w:rsidP="00000000" w:rsidRDefault="00000000" w:rsidRPr="00000000" w14:paraId="00000014">
      <w:pPr>
        <w:spacing w:line="276" w:lineRule="auto"/>
        <w:ind w:left="0" w:right="0"/>
        <w:jc w:val="both"/>
        <w:rPr>
          <w:rFonts w:ascii="Arial" w:cs="Arial" w:eastAsia="Arial" w:hAnsi="Arial"/>
          <w:color w:val="1f3864"/>
          <w:sz w:val="22"/>
          <w:szCs w:val="22"/>
        </w:rPr>
      </w:pPr>
      <w:r w:rsidDel="00000000" w:rsidR="00000000" w:rsidRPr="00000000">
        <w:rPr>
          <w:rtl w:val="0"/>
        </w:rPr>
      </w:r>
    </w:p>
    <w:p w:rsidR="00000000" w:rsidDel="00000000" w:rsidP="00000000" w:rsidRDefault="00000000" w:rsidRPr="00000000" w14:paraId="00000015">
      <w:pPr>
        <w:spacing w:line="288" w:lineRule="auto"/>
        <w:ind w:left="0" w:right="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Partner VI Kongresu Archiwów Społecznych:</w:t>
        <w:br w:type="textWrapping"/>
        <w:t xml:space="preserve">Muzeum Warszawskiej Pragi – oddział Muzeum Warszawy</w:t>
      </w:r>
    </w:p>
    <w:p w:rsidR="00000000" w:rsidDel="00000000" w:rsidP="00000000" w:rsidRDefault="00000000" w:rsidRPr="00000000" w14:paraId="00000016">
      <w:pPr>
        <w:spacing w:line="276" w:lineRule="auto"/>
        <w:ind w:left="0" w:right="0"/>
        <w:jc w:val="both"/>
        <w:rPr>
          <w:rFonts w:ascii="Calibri" w:cs="Calibri" w:eastAsia="Calibri" w:hAnsi="Calibri"/>
          <w:b w:val="1"/>
          <w:color w:val="1f3864"/>
          <w:sz w:val="26"/>
          <w:szCs w:val="26"/>
        </w:rPr>
      </w:pPr>
      <w:r w:rsidDel="00000000" w:rsidR="00000000" w:rsidRPr="00000000">
        <w:rPr>
          <w:rtl w:val="0"/>
        </w:rPr>
      </w:r>
    </w:p>
    <w:p w:rsidR="00000000" w:rsidDel="00000000" w:rsidP="00000000" w:rsidRDefault="00000000" w:rsidRPr="00000000" w14:paraId="00000017">
      <w:pPr>
        <w:spacing w:line="276" w:lineRule="auto"/>
        <w:ind w:left="0" w:right="0"/>
        <w:jc w:val="both"/>
        <w:rPr>
          <w:rFonts w:ascii="Calibri" w:cs="Calibri" w:eastAsia="Calibri" w:hAnsi="Calibri"/>
          <w:b w:val="1"/>
          <w:color w:val="1f3864"/>
          <w:sz w:val="26"/>
          <w:szCs w:val="26"/>
        </w:rPr>
      </w:pPr>
      <w:r w:rsidDel="00000000" w:rsidR="00000000" w:rsidRPr="00000000">
        <w:rPr>
          <w:rtl w:val="0"/>
        </w:rPr>
      </w:r>
    </w:p>
    <w:p w:rsidR="00000000" w:rsidDel="00000000" w:rsidP="00000000" w:rsidRDefault="00000000" w:rsidRPr="00000000" w14:paraId="00000018">
      <w:pPr>
        <w:spacing w:line="276" w:lineRule="auto"/>
        <w:ind w:left="0" w:right="0"/>
        <w:jc w:val="both"/>
        <w:rPr>
          <w:rFonts w:ascii="Calibri" w:cs="Calibri" w:eastAsia="Calibri" w:hAnsi="Calibri"/>
          <w:b w:val="1"/>
          <w:color w:val="1f3864"/>
          <w:sz w:val="26"/>
          <w:szCs w:val="26"/>
        </w:rPr>
      </w:pPr>
      <w:r w:rsidDel="00000000" w:rsidR="00000000" w:rsidRPr="00000000">
        <w:rPr>
          <w:rtl w:val="0"/>
        </w:rPr>
      </w:r>
    </w:p>
    <w:p w:rsidR="00000000" w:rsidDel="00000000" w:rsidP="00000000" w:rsidRDefault="00000000" w:rsidRPr="00000000" w14:paraId="00000019">
      <w:pPr>
        <w:spacing w:line="276" w:lineRule="auto"/>
        <w:ind w:left="0" w:right="0"/>
        <w:jc w:val="both"/>
        <w:rPr>
          <w:rFonts w:ascii="Calibri" w:cs="Calibri" w:eastAsia="Calibri" w:hAnsi="Calibri"/>
          <w:b w:val="1"/>
          <w:color w:val="1f3864"/>
          <w:sz w:val="26"/>
          <w:szCs w:val="26"/>
        </w:rPr>
      </w:pPr>
      <w:r w:rsidDel="00000000" w:rsidR="00000000" w:rsidRPr="00000000">
        <w:rPr>
          <w:rtl w:val="0"/>
        </w:rPr>
      </w:r>
    </w:p>
    <w:p w:rsidR="00000000" w:rsidDel="00000000" w:rsidP="00000000" w:rsidRDefault="00000000" w:rsidRPr="00000000" w14:paraId="0000001A">
      <w:pPr>
        <w:spacing w:line="276" w:lineRule="auto"/>
        <w:ind w:left="0" w:right="0"/>
        <w:jc w:val="both"/>
        <w:rPr>
          <w:rFonts w:ascii="Arial" w:cs="Arial" w:eastAsia="Arial" w:hAnsi="Arial"/>
          <w:color w:val="000000"/>
          <w:sz w:val="22"/>
          <w:szCs w:val="22"/>
        </w:rPr>
      </w:pPr>
      <w:r w:rsidDel="00000000" w:rsidR="00000000" w:rsidRPr="00000000">
        <w:rPr>
          <w:rFonts w:ascii="Calibri" w:cs="Calibri" w:eastAsia="Calibri" w:hAnsi="Calibri"/>
          <w:b w:val="1"/>
          <w:color w:val="1f3864"/>
          <w:sz w:val="26"/>
          <w:szCs w:val="26"/>
          <w:rtl w:val="0"/>
        </w:rPr>
        <w:t xml:space="preserve">Kontakt dla mediów:</w:t>
        <w:br w:type="textWrapping"/>
      </w:r>
      <w:r w:rsidDel="00000000" w:rsidR="00000000" w:rsidRPr="00000000">
        <w:rPr>
          <w:rFonts w:ascii="Calibri" w:cs="Calibri" w:eastAsia="Calibri" w:hAnsi="Calibri"/>
          <w:color w:val="1f3864"/>
          <w:sz w:val="26"/>
          <w:szCs w:val="26"/>
          <w:rtl w:val="0"/>
        </w:rPr>
        <w:t xml:space="preserve">Iwona Oleszczuk-Jaźwiecka</w:t>
        <w:br w:type="textWrapping"/>
      </w:r>
      <w:r w:rsidDel="00000000" w:rsidR="00000000" w:rsidRPr="00000000">
        <w:rPr>
          <w:rFonts w:ascii="Verdana" w:cs="Verdana" w:eastAsia="Verdana" w:hAnsi="Verdana"/>
          <w:i w:val="1"/>
          <w:color w:val="073763"/>
          <w:sz w:val="20"/>
          <w:szCs w:val="20"/>
          <w:highlight w:val="white"/>
          <w:rtl w:val="0"/>
        </w:rPr>
        <w:t xml:space="preserve">Kierowniczka Działu Komunikacji i Promocji</w:t>
      </w:r>
      <w:r w:rsidDel="00000000" w:rsidR="00000000" w:rsidRPr="00000000">
        <w:rPr>
          <w:rFonts w:ascii="Calibri" w:cs="Calibri" w:eastAsia="Calibri" w:hAnsi="Calibri"/>
          <w:color w:val="1f3864"/>
          <w:sz w:val="26"/>
          <w:szCs w:val="26"/>
          <w:rtl w:val="0"/>
        </w:rPr>
        <w:br w:type="textWrapping"/>
        <w:t xml:space="preserve">tel. 531 30 14 87 </w:t>
        <w:br w:type="textWrapping"/>
        <w:t xml:space="preserve">e-mail: </w:t>
      </w:r>
      <w:hyperlink r:id="rId9">
        <w:r w:rsidDel="00000000" w:rsidR="00000000" w:rsidRPr="00000000">
          <w:rPr>
            <w:rFonts w:ascii="Calibri" w:cs="Calibri" w:eastAsia="Calibri" w:hAnsi="Calibri"/>
            <w:color w:val="1155cc"/>
            <w:sz w:val="26"/>
            <w:szCs w:val="26"/>
            <w:u w:val="single"/>
            <w:rtl w:val="0"/>
          </w:rPr>
          <w:t xml:space="preserve">i.oleszczuk@cas.org.pl</w:t>
        </w:r>
      </w:hyperlink>
      <w:r w:rsidDel="00000000" w:rsidR="00000000" w:rsidRPr="00000000">
        <w:rPr>
          <w:rtl w:val="0"/>
        </w:rPr>
      </w:r>
    </w:p>
    <w:p w:rsidR="00000000" w:rsidDel="00000000" w:rsidP="00000000" w:rsidRDefault="00000000" w:rsidRPr="00000000" w14:paraId="0000001B">
      <w:pPr>
        <w:spacing w:line="276" w:lineRule="auto"/>
        <w:ind w:left="0" w:right="0" w:firstLine="0"/>
        <w:jc w:val="both"/>
        <w:rPr>
          <w:rFonts w:ascii="Arial" w:cs="Arial" w:eastAsia="Arial" w:hAnsi="Arial"/>
          <w:color w:val="000000"/>
          <w:sz w:val="22"/>
          <w:szCs w:val="22"/>
        </w:rPr>
      </w:pPr>
      <w:r w:rsidDel="00000000" w:rsidR="00000000" w:rsidRPr="00000000">
        <w:rPr>
          <w:rtl w:val="0"/>
        </w:rPr>
      </w:r>
    </w:p>
    <w:sectPr>
      <w:headerReference r:id="rId10" w:type="default"/>
      <w:headerReference r:id="rId11" w:type="first"/>
      <w:footerReference r:id="rId12" w:type="default"/>
      <w:footerReference r:id="rId13" w:type="first"/>
      <w:pgSz w:h="16840" w:w="11900" w:orient="portrait"/>
      <w:pgMar w:bottom="2410" w:top="2977" w:left="1417" w:right="1417" w:header="851" w:footer="1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Verdana"/>
  <w:font w:name="Arch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right="0" w:firstLine="0"/>
      <w:rPr>
        <w:color w:val="050505"/>
      </w:rPr>
    </w:pPr>
    <w:r w:rsidDel="00000000" w:rsidR="00000000" w:rsidRPr="00000000">
      <w:rPr>
        <w:rFonts w:ascii="Calibri" w:cs="Calibri" w:eastAsia="Calibri" w:hAnsi="Calibri"/>
        <w:color w:val="595959"/>
        <w:sz w:val="12"/>
        <w:szCs w:val="12"/>
        <w:rtl w:val="0"/>
      </w:rPr>
      <w:tab/>
      <w:tab/>
      <w:tab/>
      <w:br w:type="textWrapping"/>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4162425</wp:posOffset>
          </wp:positionH>
          <wp:positionV relativeFrom="paragraph">
            <wp:posOffset>215900</wp:posOffset>
          </wp:positionV>
          <wp:extent cx="1697143" cy="540000"/>
          <wp:effectExtent b="0" l="0" r="0" t="0"/>
          <wp:wrapNone/>
          <wp:docPr id="2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7143" cy="540000"/>
                  </a:xfrm>
                  <a:prstGeom prst="rect"/>
                  <a:ln/>
                </pic:spPr>
              </pic:pic>
            </a:graphicData>
          </a:graphic>
        </wp:anchor>
      </w:drawing>
    </w:r>
  </w:p>
  <w:p w:rsidR="00000000" w:rsidDel="00000000" w:rsidP="00000000" w:rsidRDefault="00000000" w:rsidRPr="00000000" w14:paraId="00000022">
    <w:pPr>
      <w:spacing w:after="240" w:before="240" w:line="240" w:lineRule="auto"/>
      <w:ind w:left="0" w:right="0" w:firstLine="0"/>
      <w:rPr>
        <w:color w:val="050505"/>
      </w:rPr>
    </w:pPr>
    <w:r w:rsidDel="00000000" w:rsidR="00000000" w:rsidRPr="00000000">
      <w:rPr>
        <w:rtl w:val="0"/>
      </w:rPr>
    </w:r>
  </w:p>
  <w:p w:rsidR="00000000" w:rsidDel="00000000" w:rsidP="00000000" w:rsidRDefault="00000000" w:rsidRPr="00000000" w14:paraId="00000023">
    <w:pPr>
      <w:spacing w:after="240" w:before="240" w:line="240" w:lineRule="auto"/>
      <w:ind w:left="0" w:righ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right="0" w:firstLine="0"/>
      <w:rPr>
        <w:color w:val="050505"/>
      </w:rPr>
    </w:pPr>
    <w:r w:rsidDel="00000000" w:rsidR="00000000" w:rsidRPr="00000000">
      <w:rPr>
        <w:rFonts w:ascii="Calibri" w:cs="Calibri" w:eastAsia="Calibri" w:hAnsi="Calibri"/>
        <w:color w:val="595959"/>
        <w:sz w:val="12"/>
        <w:szCs w:val="12"/>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4171950</wp:posOffset>
          </wp:positionH>
          <wp:positionV relativeFrom="paragraph">
            <wp:posOffset>-86349</wp:posOffset>
          </wp:positionV>
          <wp:extent cx="1584325" cy="503030"/>
          <wp:effectExtent b="0" l="0" r="0" t="0"/>
          <wp:wrapNone/>
          <wp:docPr id="2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4325" cy="503030"/>
                  </a:xfrm>
                  <a:prstGeom prst="rect"/>
                  <a:ln/>
                </pic:spPr>
              </pic:pic>
            </a:graphicData>
          </a:graphic>
        </wp:anchor>
      </w:drawing>
    </w:r>
  </w:p>
  <w:p w:rsidR="00000000" w:rsidDel="00000000" w:rsidP="00000000" w:rsidRDefault="00000000" w:rsidRPr="00000000" w14:paraId="00000025">
    <w:pPr>
      <w:spacing w:after="240" w:before="240" w:line="240" w:lineRule="auto"/>
      <w:ind w:left="0" w:right="0" w:firstLine="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80" w:lineRule="auto"/>
      <w:ind w:firstLine="56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0" w:firstLine="0"/>
      <w:jc w:val="right"/>
      <w:rPr>
        <w:rFonts w:ascii="Calibri" w:cs="Calibri" w:eastAsia="Calibri" w:hAnsi="Calibri"/>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-90160</wp:posOffset>
          </wp:positionH>
          <wp:positionV relativeFrom="paragraph">
            <wp:posOffset>-45073</wp:posOffset>
          </wp:positionV>
          <wp:extent cx="1035170" cy="762000"/>
          <wp:effectExtent b="0" l="0" r="0" t="0"/>
          <wp:wrapNone/>
          <wp:docPr id="2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5170" cy="7620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line="280" w:lineRule="auto"/>
      <w:ind w:firstLine="567"/>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ind w:left="0" w:firstLine="0"/>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Warszawa, 20.10.2025 r.</w:t>
    </w:r>
    <w:r w:rsidDel="00000000" w:rsidR="00000000" w:rsidRPr="00000000">
      <w:drawing>
        <wp:anchor allowOverlap="1" behindDoc="0" distB="0" distT="0" distL="114300" distR="114300" hidden="0" layoutInCell="1" locked="0" relativeHeight="0" simplePos="0">
          <wp:simplePos x="0" y="0"/>
          <wp:positionH relativeFrom="column">
            <wp:posOffset>-90160</wp:posOffset>
          </wp:positionH>
          <wp:positionV relativeFrom="paragraph">
            <wp:posOffset>31115</wp:posOffset>
          </wp:positionV>
          <wp:extent cx="1031923" cy="759610"/>
          <wp:effectExtent b="0" l="0" r="0" t="0"/>
          <wp:wrapNone/>
          <wp:docPr id="2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1923" cy="75961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line="280" w:lineRule="auto"/>
      <w:ind w:firstLine="567"/>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line="280" w:lineRule="auto"/>
      <w:ind w:firstLine="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chia" w:cs="Archia" w:eastAsia="Archia" w:hAnsi="Archia"/>
        <w:color w:val="000f52"/>
        <w:sz w:val="18"/>
        <w:szCs w:val="18"/>
        <w:lang w:val="pl"/>
      </w:rPr>
    </w:rPrDefault>
    <w:pPrDefault>
      <w:pPr>
        <w:spacing w:line="280" w:lineRule="auto"/>
        <w:ind w:left="567" w:right="11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ela" w:customStyle="1">
    <w:name w:val="Tabela"/>
    <w:basedOn w:val="Standardowy"/>
    <w:uiPriority w:val="99"/>
    <w:rsid w:val="00F50F3E"/>
    <w:rPr>
      <w:rFonts w:ascii="Clavo Light" w:hAnsi="Clavo Light"/>
      <w:color w:val="000000" w:themeColor="text1"/>
      <w:sz w:val="22"/>
    </w:rPr>
    <w:tblPr>
      <w:tblBorders>
        <w:bottom w:color="auto" w:space="0" w:sz="4" w:val="single"/>
        <w:insideH w:color="auto" w:space="0" w:sz="4" w:val="single"/>
      </w:tblBorders>
    </w:tblPr>
  </w:style>
  <w:style w:type="paragraph" w:styleId="BillenniumSubtitle" w:customStyle="1">
    <w:name w:val="Billennium Subtitle"/>
    <w:basedOn w:val="Normalny"/>
    <w:next w:val="Normalny"/>
    <w:link w:val="BillenniumSubtitleZnak"/>
    <w:rsid w:val="009A63DF"/>
    <w:pPr>
      <w:autoSpaceDE w:val="0"/>
      <w:autoSpaceDN w:val="0"/>
      <w:adjustRightInd w:val="0"/>
      <w:spacing w:after="280" w:before="120"/>
    </w:pPr>
    <w:rPr>
      <w:rFonts w:cs="Roboto-Regular" w:eastAsia="Calibri"/>
      <w:color w:val="000000" w:themeColor="text1"/>
    </w:rPr>
  </w:style>
  <w:style w:type="character" w:styleId="BillenniumSubtitleZnak" w:customStyle="1">
    <w:name w:val="Billennium Subtitle Znak"/>
    <w:basedOn w:val="Domylnaczcionkaakapitu"/>
    <w:link w:val="BillenniumSubtitle"/>
    <w:locked w:val="1"/>
    <w:rsid w:val="009A63DF"/>
    <w:rPr>
      <w:rFonts w:cs="Roboto-Regular" w:eastAsia="Calibri"/>
      <w:color w:val="000000" w:themeColor="text1"/>
    </w:rPr>
  </w:style>
  <w:style w:type="paragraph" w:styleId="Nagwek">
    <w:name w:val="header"/>
    <w:basedOn w:val="Normalny"/>
    <w:link w:val="NagwekZnak"/>
    <w:uiPriority w:val="99"/>
    <w:unhideWhenUsed w:val="1"/>
    <w:rsid w:val="00EA735B"/>
    <w:pPr>
      <w:tabs>
        <w:tab w:val="center" w:pos="4536"/>
        <w:tab w:val="right" w:pos="9072"/>
      </w:tabs>
    </w:pPr>
  </w:style>
  <w:style w:type="character" w:styleId="NagwekZnak" w:customStyle="1">
    <w:name w:val="Nagłówek Znak"/>
    <w:basedOn w:val="Domylnaczcionkaakapitu"/>
    <w:link w:val="Nagwek"/>
    <w:uiPriority w:val="99"/>
    <w:rsid w:val="00EA735B"/>
  </w:style>
  <w:style w:type="paragraph" w:styleId="Stopka">
    <w:name w:val="footer"/>
    <w:basedOn w:val="Normalny"/>
    <w:link w:val="StopkaZnak"/>
    <w:uiPriority w:val="99"/>
    <w:unhideWhenUsed w:val="1"/>
    <w:rsid w:val="00EA735B"/>
    <w:pPr>
      <w:tabs>
        <w:tab w:val="center" w:pos="4536"/>
        <w:tab w:val="right" w:pos="9072"/>
      </w:tabs>
    </w:pPr>
  </w:style>
  <w:style w:type="character" w:styleId="StopkaZnak" w:customStyle="1">
    <w:name w:val="Stopka Znak"/>
    <w:basedOn w:val="Domylnaczcionkaakapitu"/>
    <w:link w:val="Stopka"/>
    <w:uiPriority w:val="99"/>
    <w:rsid w:val="00EA735B"/>
  </w:style>
  <w:style w:type="paragraph" w:styleId="Bezodstpw">
    <w:name w:val="No Spacing"/>
    <w:uiPriority w:val="1"/>
    <w:rsid w:val="00EA735B"/>
  </w:style>
  <w:style w:type="paragraph" w:styleId="NormalnyWeb">
    <w:name w:val="Normal (Web)"/>
    <w:basedOn w:val="Normalny"/>
    <w:uiPriority w:val="99"/>
    <w:unhideWhenUsed w:val="1"/>
    <w:rsid w:val="00463919"/>
    <w:pPr>
      <w:spacing w:after="100" w:afterAutospacing="1" w:before="100" w:beforeAutospacing="1" w:line="240" w:lineRule="auto"/>
      <w:ind w:left="0" w:right="0"/>
    </w:pPr>
    <w:rPr>
      <w:rFonts w:ascii="Times New Roman" w:cs="Times New Roman" w:eastAsia="Times New Roman" w:hAnsi="Times New Roman"/>
      <w:color w:val="auto"/>
      <w:sz w:val="24"/>
      <w:szCs w:val="24"/>
    </w:rPr>
  </w:style>
  <w:style w:type="character" w:styleId="Hipercze">
    <w:name w:val="Hyperlink"/>
    <w:basedOn w:val="Domylnaczcionkaakapitu"/>
    <w:uiPriority w:val="99"/>
    <w:unhideWhenUsed w:val="1"/>
    <w:rsid w:val="00463919"/>
    <w:rPr>
      <w:color w:val="0000ff"/>
      <w:u w:val="single"/>
    </w:rPr>
  </w:style>
  <w:style w:type="character" w:styleId="Nierozpoznanawzmianka">
    <w:name w:val="Unresolved Mention"/>
    <w:basedOn w:val="Domylnaczcionkaakapitu"/>
    <w:uiPriority w:val="99"/>
    <w:semiHidden w:val="1"/>
    <w:unhideWhenUsed w:val="1"/>
    <w:rsid w:val="00DC0EE1"/>
    <w:rPr>
      <w:color w:val="605e5c"/>
      <w:shd w:color="auto" w:fill="e1dfdd" w:val="clear"/>
    </w:rPr>
  </w:style>
  <w:style w:type="paragraph" w:styleId="Akapitzlist">
    <w:name w:val="List Paragraph"/>
    <w:basedOn w:val="Normalny"/>
    <w:uiPriority w:val="34"/>
    <w:qFormat w:val="1"/>
    <w:rsid w:val="00DB3CD2"/>
    <w:pPr>
      <w:ind w:left="720"/>
      <w:contextualSpacing w:val="1"/>
    </w:pPr>
  </w:style>
  <w:style w:type="character" w:styleId="Odwoaniedokomentarza">
    <w:name w:val="annotation reference"/>
    <w:basedOn w:val="Domylnaczcionkaakapitu"/>
    <w:uiPriority w:val="99"/>
    <w:semiHidden w:val="1"/>
    <w:unhideWhenUsed w:val="1"/>
    <w:rsid w:val="006F0B0C"/>
    <w:rPr>
      <w:sz w:val="16"/>
      <w:szCs w:val="16"/>
    </w:rPr>
  </w:style>
  <w:style w:type="paragraph" w:styleId="Tekstkomentarza">
    <w:name w:val="annotation text"/>
    <w:basedOn w:val="Normalny"/>
    <w:link w:val="TekstkomentarzaZnak"/>
    <w:uiPriority w:val="99"/>
    <w:unhideWhenUsed w:val="1"/>
    <w:rsid w:val="006F0B0C"/>
    <w:pPr>
      <w:spacing w:line="240" w:lineRule="auto"/>
    </w:pPr>
    <w:rPr>
      <w:sz w:val="20"/>
      <w:szCs w:val="20"/>
    </w:rPr>
  </w:style>
  <w:style w:type="character" w:styleId="TekstkomentarzaZnak" w:customStyle="1">
    <w:name w:val="Tekst komentarza Znak"/>
    <w:basedOn w:val="Domylnaczcionkaakapitu"/>
    <w:link w:val="Tekstkomentarza"/>
    <w:uiPriority w:val="99"/>
    <w:rsid w:val="006F0B0C"/>
    <w:rPr>
      <w:sz w:val="20"/>
      <w:szCs w:val="20"/>
    </w:rPr>
  </w:style>
  <w:style w:type="paragraph" w:styleId="Tematkomentarza">
    <w:name w:val="annotation subject"/>
    <w:basedOn w:val="Tekstkomentarza"/>
    <w:next w:val="Tekstkomentarza"/>
    <w:link w:val="TematkomentarzaZnak"/>
    <w:uiPriority w:val="99"/>
    <w:semiHidden w:val="1"/>
    <w:unhideWhenUsed w:val="1"/>
    <w:rsid w:val="006F0B0C"/>
    <w:rPr>
      <w:b w:val="1"/>
      <w:bCs w:val="1"/>
    </w:rPr>
  </w:style>
  <w:style w:type="character" w:styleId="TematkomentarzaZnak" w:customStyle="1">
    <w:name w:val="Temat komentarza Znak"/>
    <w:basedOn w:val="TekstkomentarzaZnak"/>
    <w:link w:val="Tematkomentarza"/>
    <w:uiPriority w:val="99"/>
    <w:semiHidden w:val="1"/>
    <w:rsid w:val="006F0B0C"/>
    <w:rPr>
      <w:b w:val="1"/>
      <w:bCs w:val="1"/>
      <w:sz w:val="20"/>
      <w:szCs w:val="2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80" w:lineRule="auto"/>
      <w:ind w:left="567" w:right="113" w:hanging="2268"/>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oleszczuk@cas.org.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erminalkultury.pl" TargetMode="External"/><Relationship Id="rId8" Type="http://schemas.openxmlformats.org/officeDocument/2006/relationships/hyperlink" Target="http://cas.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t0X5zdxz6uCpcTxuEQPxXPaqA==">CgMxLjAikQIKC0FBQUJzbE1YaUlZEtsBCgtBQUFCc2xNWGlJWRILQUFBQnNsTVhpSVkaDQoJdGV4dC9odG1sEgAiDgoKdGV4dC9wbGFpbhIAKhsiFTEwNDEwNDgzMTg4MTU1NTM0NDkxNigAOAAwh432jaAzOITh942gM0o7CiRhcHBsaWNhdGlvbi92bmQuZ29vZ2xlLWFwcHMuZG9jcy5tZHMaE8LX2uQBDRILCgcKAWkQARgAEAFaDHRjN2d6Mzk4NDFqZnICIAB4AIIBFHN1Z2dlc3QuOHNxdzB4OHdtejFpmgEGCAAQABgAsAEAuAEAGIeN9o2gMyCE4feNoDMwAEIUc3VnZ2VzdC44c3F3MHg4d216MWkiigIKC0FBQUJzbE1YaUtjEtQBCgtBQUFCc2xNWGlLYxILQUFBQnNsTVhpS2MaDQoJdGV4dC9odG1sEgAiDgoKdGV4dC9wbGFpbhIAKhsiFTEwNDEwNDgzMTg4MTU1NTM0NDkxNigAOAAwuP2yjqAzON2Bs46gM0o0CiRhcHBsaWNhdGlvbi92bmQuZ29vZ2xlLWFwcHMuZG9jcy5tZHMaDMLX2uQBBiIECAEQAVoMaHhiZzQxd3kxZnhpcgIgAHgAggEUc3VnZ2VzdC42bHNzdXB5eXAweWyaAQYIABAAGACwAQC4AQAYuP2yjqAzIN2Bs46gMzAAQhRzdWdnZXN0LjZsc3N1cHl5cDB5bDgAajIKFHN1Z2dlc3QuOWZpYng2cm5zc3FwEhpJd29uYSBPbGVzemN6dWstSmHFundpZWNrYWoyChRzdWdnZXN0LmUxcjg4ZHc5d2FjaBIaSXdvbmEgT2xlc3pjenVrLUphxbp3aWVja2FqMgoUc3VnZ2VzdC5jN3YzMjBuMTgyZWYSGkl3b25hIE9sZXN6Y3p1ay1KYcW6d2llY2thajIKFHN1Z2dlc3QuZzhvZHRvOHdsZDNzEhpJd29uYSBPbGVzemN6dWstSmHFundpZWNrYWoyChRzdWdnZXN0LmliZ2hiNWFoNzdzaBIaSXdvbmEgT2xlc3pjenVrLUphxbp3aWVja2FqMgoUc3VnZ2VzdC41dG1wdnhva21xeGYSGkl3b25hIE9sZXN6Y3p1ay1KYcW6d2llY2thajIKFHN1Z2dlc3QuYnlkMXR0MzI2cXQyEhpJd29uYSBPbGVzemN6dWstSmHFundpZWNrYWoyChRzdWdnZXN0LmFkamYzZnBpZjljcxIaSXdvbmEgT2xlc3pjenVrLUphxbp3aWVja2FqMgoUc3VnZ2VzdC5wc3E5MGpkeDR6bWoSGkl3b25hIE9sZXN6Y3p1ay1KYcW6d2llY2thajIKFHN1Z2dlc3QuYmU5b2NzaXZxbWdxEhpJd29uYSBPbGVzemN6dWstSmHFundpZWNrYWoyChRzdWdnZXN0LmE3MDR6c3U3MGFoNBIaSXdvbmEgT2xlc3pjenVrLUphxbp3aWVja2FqMgoUc3VnZ2VzdC40M2Vwd29sY2x5czESGkl3b25hIE9sZXN6Y3p1ay1KYcW6d2llY2thajEKE3N1Z2dlc3QuaHIwMDRoNW9oZXESGkl3b25hIE9sZXN6Y3p1ay1KYcW6d2llY2thajIKFHN1Z2dlc3QuOWl5bHV2aG1iZDdxEhpJd29uYSBPbGVzemN6dWstSmHFundpZWNrYWoyChRzdWdnZXN0LnJyNm0zYTVnd3B2NxIaSXdvbmEgT2xlc3pjenVrLUphxbp3aWVja2FqJAoUc3VnZ2VzdC45ODMwa3Z4ZGVkMXUSDEpvYW5uYSDFgXViYWoyChRzdWdnZXN0LjhzcXcweDh3bXoxaRIaSXdvbmEgT2xlc3pjenVrLUphxbp3aWVja2FqMQoTc3VnZ2VzdC5rb3J0d3c2MmQ2axIaSXdvbmEgT2xlc3pjenVrLUphxbp3aWVja2FqMgoUc3VnZ2VzdC5xcmtrd3dhOGdjbW8SGkl3b25hIE9sZXN6Y3p1ay1KYcW6d2llY2thajIKFHN1Z2dlc3QuazEyemFocDk0OHltEhpJd29uYSBPbGVzemN6dWstSmHFundpZWNrYWoyChRzdWdnZXN0LjZsc3N1cHl5cDB5bBIaSXdvbmEgT2xlc3pjenVrLUphxbp3aWVja2FyITFwdlJ4alZrcHBtU29BN0htSndPeWFMZVJjeWJPaUZ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2022-03-31T09:12:00Z</dcterms:created>
  <dc:creator>PFR TFI</dc:creator>
</cp:coreProperties>
</file>