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900" w:before="0" w:line="348" w:lineRule="auto"/>
        <w:ind w:left="0" w:right="0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bookmarkStart w:colFirst="0" w:colLast="0" w:name="_heading=h.n4tto5r3cigf" w:id="0"/>
      <w:bookmarkEnd w:id="0"/>
      <w:r w:rsidDel="00000000" w:rsidR="00000000" w:rsidRPr="00000000">
        <w:rPr>
          <w:rFonts w:ascii="Arial" w:cs="Arial" w:eastAsia="Arial" w:hAnsi="Arial"/>
          <w:color w:val="1b1c1d"/>
          <w:sz w:val="36"/>
          <w:szCs w:val="36"/>
          <w:rtl w:val="0"/>
        </w:rPr>
        <w:t xml:space="preserve">„Moje ręce krzyczą” </w:t>
        <w:br w:type="textWrapping"/>
        <w:t xml:space="preserve">spektakl Olsztyńskiego Teatru Głuchych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color w:val="1b1c1d"/>
          <w:sz w:val="22"/>
          <w:szCs w:val="22"/>
          <w:rtl w:val="0"/>
        </w:rPr>
        <w:t xml:space="preserve">25 października, godz. 19.00</w:t>
        <w:br w:type="textWrapping"/>
        <w:t xml:space="preserve">Terminal Kultury Gocław, Warszawa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0" w:right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Czy można krzyczeć bez dźwięku? Odpowiedzią na to pytanie jest spektakl „Moje ręce krzyczą” w wykonaniu Olsztyńskiego Teatru Głuchych, który zostanie zaprezentowany 25 października 2025 roku o godz. 19.00 w Terminalu Kultury Gocław w Warszawie. Wydarzenie odbędzie się w ramach VI Kongresu Archiwów Społecznych, którego organizatorem jest Centrum Archiwistyki Społecznej. Wydarzenie jest otwarte dla szerokiej publiczności. Bilety dostępne są w kasach Terminalu oraz online na</w:t>
      </w:r>
      <w:r w:rsidDel="00000000" w:rsidR="00000000" w:rsidRPr="00000000">
        <w:rPr>
          <w:rFonts w:ascii="Arial" w:cs="Arial" w:eastAsia="Arial" w:hAnsi="Arial"/>
          <w:b w:val="1"/>
          <w:color w:val="1b1c1d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terminalkultury.pl</w:t>
        </w:r>
      </w:hyperlink>
      <w:r w:rsidDel="00000000" w:rsidR="00000000" w:rsidRPr="00000000">
        <w:rPr>
          <w:rFonts w:ascii="Arial" w:cs="Arial" w:eastAsia="Arial" w:hAnsi="Arial"/>
          <w:b w:val="1"/>
          <w:color w:val="1b1c1d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0" w:right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Performans stanowi teatralny manifest oparty na 15 rozmowach z osobami g/Głuchymi, słabosłyszącymi, korzystającymi z aparatów słuchowych i implantów ślimakowych oraz osobami z rodzin Głuchych, rodzin słyszących i CODA (Child/Children of Deaf Adults). Spektakl porusza temat codziennego życia w świecie bez dźwięku i wyzwań związanych z funkcjonowaniem w rzeczywistości zdominowanej przez słyszących. Przedstawienie ukazuje bogactwo Polskiego Języka Migowego, jego siłę wyrazu i możliwości performatywne.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0" w:right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Spektakl wykonywany jest w Polskim Języku Migowym z tłumaczeniem na żywo na polski język foniczny. Po jego zakończeniu zaplanowano spotkanie twórczyń i twórców z publicznością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0" w:right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Wydarzenie towarzyszy VI Kongresowi Archiwów Społecznych, którego hasło przewodnie – „Historia, która włącza” – podkreśla znaczenie różnorodnych głosów w opowiadaniu o przeszłości. Kongres stanowi najważniejsze ogólnopolskie forum wymiany doświadczeń dla osób zajmujących się archiwistyką społeczną, dokumentowaniem historii lokalnych oraz przywracaniem pamięci społecznościom, których głosy dotąd nie były słyszalne.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0" w:right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Bilety na spektakl dostępne są w kasach Terminalu Kultury Gocław oraz online na stronie: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https://terminalkultury.pl/wydarzenie/moje-rece-krzycza-spekatkl/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  <w:br w:type="textWrapping"/>
        <w:t xml:space="preserve"> </w:t>
        <w:br w:type="textWrapping"/>
        <w:t xml:space="preserve">Ceny biletów:</w:t>
        <w:br w:type="textWrapping"/>
        <w:t xml:space="preserve">20 zł – ulgowy / dla uczestników i uczestniczek Kongresu</w:t>
        <w:br w:type="textWrapping"/>
        <w:t xml:space="preserve">35 zł – normalny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900" w:line="276" w:lineRule="auto"/>
        <w:ind w:left="0" w:right="0"/>
        <w:jc w:val="both"/>
        <w:rPr>
          <w:rFonts w:ascii="Calibri" w:cs="Calibri" w:eastAsia="Calibri" w:hAnsi="Calibri"/>
          <w:b w:val="1"/>
          <w:color w:val="1f386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„Moje ręce krzyczą”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Reżyseria i tłumaczenie na żywo: Natalia Świniarska </w:t>
        <w:br w:type="textWrapping"/>
        <w:t xml:space="preserve">Zespół aktorski / wykonawcy: </w:t>
        <w:br w:type="textWrapping"/>
        <w:t xml:space="preserve">Małgorzata Mickiewicz </w:t>
        <w:br w:type="textWrapping"/>
        <w:t xml:space="preserve">Aleksandra Lipska </w:t>
        <w:br w:type="textWrapping"/>
        <w:t xml:space="preserve">Mateusz Kłoskowski</w:t>
        <w:br w:type="textWrapping"/>
        <w:t xml:space="preserve">Wsparcie organizacyjno-techniczne: Weronika Świniarska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Więcej informacji o wydarzeniu na stronie Centrum Archiwistyki Społecznej: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cas.org.pl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br w:type="textWrapping"/>
        <w:t xml:space="preserve">________________________</w:t>
        <w:br w:type="textWrapping"/>
      </w:r>
      <w:r w:rsidDel="00000000" w:rsidR="00000000" w:rsidRPr="00000000">
        <w:rPr>
          <w:rFonts w:ascii="Calibri" w:cs="Calibri" w:eastAsia="Calibri" w:hAnsi="Calibri"/>
          <w:color w:val="1f386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b1c1d"/>
          <w:sz w:val="22"/>
          <w:szCs w:val="22"/>
          <w:rtl w:val="0"/>
        </w:rPr>
        <w:t xml:space="preserve">Więcej informacji o twórcach spektaklu</w:t>
      </w:r>
      <w:r w:rsidDel="00000000" w:rsidR="00000000" w:rsidRPr="00000000">
        <w:rPr>
          <w:rFonts w:ascii="Arial" w:cs="Arial" w:eastAsia="Arial" w:hAnsi="Arial"/>
          <w:color w:val="1b1c1d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1f3864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 twórcach spektaklu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Olsztyński Teatr Głuchych to młoda grupa artystyczna kontynuująca tradycje Pantomimy Olsztyńskiej – formacji tworzonej przez środowisko g/Głuchych. Teatr powstał z potrzeby mówienia własnym głosem i budowania własnej przestrzeni twórczej. W swojej działalności promuje kulturę Głuchych, wizualno-przestrzenny język migowy oraz performatywne możliwości tej formy komunikacji. Zespół działa na rzecz upowszechniania wiedzy o środowisku g/Głuchych i zwiększania dostępności kultury.</w:t>
        <w:br w:type="textWrapping"/>
        <w:br w:type="textWrapping"/>
        <w:t xml:space="preserve">W repertuarze grupy znajdują się dwa spektakle: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Moje ręce krzyczą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(premiera: maj 2023) oraz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Ciało obrazowanie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(premiera: grudzień 2023 w Teatrze im. Stefana Jaracza w Olsztynie), zrealizowany w technice Visual Vernacular – ruchowej formie ekspresji charakterystycznej dla twórców niesłyszących.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900" w:line="276" w:lineRule="auto"/>
        <w:ind w:left="0" w:right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3864"/>
          <w:sz w:val="26"/>
          <w:szCs w:val="26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color w:val="1f3864"/>
          <w:sz w:val="26"/>
          <w:szCs w:val="26"/>
          <w:rtl w:val="0"/>
        </w:rPr>
        <w:t xml:space="preserve">ontakt dla mediów:</w:t>
        <w:br w:type="textWrapping"/>
      </w:r>
      <w:r w:rsidDel="00000000" w:rsidR="00000000" w:rsidRPr="00000000">
        <w:rPr>
          <w:rFonts w:ascii="Calibri" w:cs="Calibri" w:eastAsia="Calibri" w:hAnsi="Calibri"/>
          <w:color w:val="1f3864"/>
          <w:sz w:val="26"/>
          <w:szCs w:val="26"/>
          <w:rtl w:val="0"/>
        </w:rPr>
        <w:t xml:space="preserve">Iwona Oleszczuk-Jaźwiecka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73763"/>
          <w:sz w:val="20"/>
          <w:szCs w:val="20"/>
          <w:highlight w:val="white"/>
          <w:rtl w:val="0"/>
        </w:rPr>
        <w:t xml:space="preserve">Kierowniczka Działu Komunikacji i Promocji</w:t>
      </w:r>
      <w:r w:rsidDel="00000000" w:rsidR="00000000" w:rsidRPr="00000000">
        <w:rPr>
          <w:rFonts w:ascii="Calibri" w:cs="Calibri" w:eastAsia="Calibri" w:hAnsi="Calibri"/>
          <w:color w:val="1f3864"/>
          <w:sz w:val="26"/>
          <w:szCs w:val="26"/>
          <w:rtl w:val="0"/>
        </w:rPr>
        <w:br w:type="textWrapping"/>
        <w:t xml:space="preserve">tel. 531 30 14 87 </w:t>
        <w:br w:type="textWrapping"/>
        <w:t xml:space="preserve">e-mail: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i.oleszczuk@cas.org.pl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2410" w:top="2977" w:left="1417" w:right="1417" w:header="851" w:footer="19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Verdana"/>
  <w:font w:name="Arch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0" w:firstLine="0"/>
      <w:rPr>
        <w:color w:val="050505"/>
      </w:rPr>
    </w:pPr>
    <w:r w:rsidDel="00000000" w:rsidR="00000000" w:rsidRPr="00000000">
      <w:rPr>
        <w:rFonts w:ascii="Calibri" w:cs="Calibri" w:eastAsia="Calibri" w:hAnsi="Calibri"/>
        <w:color w:val="595959"/>
        <w:sz w:val="12"/>
        <w:szCs w:val="12"/>
        <w:rtl w:val="0"/>
      </w:rPr>
      <w:tab/>
      <w:tab/>
      <w:tab/>
      <w:br w:type="textWrapping"/>
      <w:br w:type="textWrapping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4162425</wp:posOffset>
          </wp:positionH>
          <wp:positionV relativeFrom="paragraph">
            <wp:posOffset>215900</wp:posOffset>
          </wp:positionV>
          <wp:extent cx="1697143" cy="540000"/>
          <wp:effectExtent b="0" l="0" r="0" t="0"/>
          <wp:wrapNone/>
          <wp:docPr id="2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143" cy="54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spacing w:after="240" w:before="240" w:line="240" w:lineRule="auto"/>
      <w:ind w:left="0" w:right="0" w:firstLine="0"/>
      <w:rPr>
        <w:color w:val="05050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240" w:before="240" w:line="240" w:lineRule="auto"/>
      <w:ind w:left="0" w:right="0" w:firstLine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0" w:firstLine="0"/>
      <w:rPr>
        <w:color w:val="050505"/>
      </w:rPr>
    </w:pPr>
    <w:r w:rsidDel="00000000" w:rsidR="00000000" w:rsidRPr="00000000">
      <w:rPr>
        <w:rFonts w:ascii="Calibri" w:cs="Calibri" w:eastAsia="Calibri" w:hAnsi="Calibri"/>
        <w:color w:val="595959"/>
        <w:sz w:val="12"/>
        <w:szCs w:val="12"/>
        <w:rtl w:val="0"/>
      </w:rPr>
      <w:br w:type="textWrapping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-86347</wp:posOffset>
          </wp:positionV>
          <wp:extent cx="1584325" cy="503030"/>
          <wp:effectExtent b="0" l="0" r="0" t="0"/>
          <wp:wrapNone/>
          <wp:docPr id="2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4325" cy="5030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spacing w:after="240" w:before="240" w:line="240" w:lineRule="auto"/>
      <w:ind w:left="0" w:righ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80" w:lineRule="auto"/>
      <w:ind w:firstLine="567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ind w:left="0" w:firstLine="0"/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-90159</wp:posOffset>
          </wp:positionH>
          <wp:positionV relativeFrom="paragraph">
            <wp:posOffset>-45071</wp:posOffset>
          </wp:positionV>
          <wp:extent cx="1035170" cy="762000"/>
          <wp:effectExtent b="0" l="0" r="0" t="0"/>
          <wp:wrapNone/>
          <wp:docPr id="25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517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80" w:lineRule="auto"/>
      <w:ind w:firstLine="567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ind w:left="0" w:firstLine="0"/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Warszawa, 21.10.2025 r.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-90159</wp:posOffset>
          </wp:positionH>
          <wp:positionV relativeFrom="paragraph">
            <wp:posOffset>31115</wp:posOffset>
          </wp:positionV>
          <wp:extent cx="1031923" cy="759610"/>
          <wp:effectExtent b="0" l="0" r="0" t="0"/>
          <wp:wrapNone/>
          <wp:docPr id="2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1923" cy="759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80" w:lineRule="auto"/>
      <w:ind w:firstLine="567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80" w:lineRule="auto"/>
      <w:ind w:firstLine="567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chia" w:cs="Archia" w:eastAsia="Archia" w:hAnsi="Archia"/>
        <w:color w:val="000f52"/>
        <w:sz w:val="18"/>
        <w:szCs w:val="18"/>
        <w:lang w:val="pl"/>
      </w:rPr>
    </w:rPrDefault>
    <w:pPrDefault>
      <w:pPr>
        <w:spacing w:line="280" w:lineRule="auto"/>
        <w:ind w:left="567" w:right="11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" w:customStyle="1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color="auto" w:space="0" w:sz="4" w:val="single"/>
        <w:insideH w:color="auto" w:space="0" w:sz="4" w:val="single"/>
      </w:tblBorders>
    </w:tblPr>
  </w:style>
  <w:style w:type="paragraph" w:styleId="BillenniumSubtitle" w:customStyle="1">
    <w:name w:val="Billennium Subtitle"/>
    <w:basedOn w:val="Normalny"/>
    <w:next w:val="Normalny"/>
    <w:link w:val="BillenniumSubtitleZnak"/>
    <w:rsid w:val="009A63DF"/>
    <w:pPr>
      <w:autoSpaceDE w:val="0"/>
      <w:autoSpaceDN w:val="0"/>
      <w:adjustRightInd w:val="0"/>
      <w:spacing w:after="280" w:before="120"/>
    </w:pPr>
    <w:rPr>
      <w:rFonts w:cs="Roboto-Regular" w:eastAsia="Calibri"/>
      <w:color w:val="000000" w:themeColor="text1"/>
    </w:rPr>
  </w:style>
  <w:style w:type="character" w:styleId="BillenniumSubtitleZnak" w:customStyle="1">
    <w:name w:val="Billennium Subtitle Znak"/>
    <w:basedOn w:val="Domylnaczcionkaakapitu"/>
    <w:link w:val="BillenniumSubtitle"/>
    <w:locked w:val="1"/>
    <w:rsid w:val="009A63DF"/>
    <w:rPr>
      <w:rFonts w:cs="Roboto-Regular" w:eastAsia="Calibri"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 w:val="1"/>
    <w:rsid w:val="00EA735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A735B"/>
  </w:style>
  <w:style w:type="paragraph" w:styleId="Stopka">
    <w:name w:val="footer"/>
    <w:basedOn w:val="Normalny"/>
    <w:link w:val="StopkaZnak"/>
    <w:uiPriority w:val="99"/>
    <w:unhideWhenUsed w:val="1"/>
    <w:rsid w:val="00EA735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A735B"/>
  </w:style>
  <w:style w:type="paragraph" w:styleId="Bezodstpw">
    <w:name w:val="No Spacing"/>
    <w:uiPriority w:val="1"/>
    <w:rsid w:val="00EA735B"/>
  </w:style>
  <w:style w:type="paragraph" w:styleId="NormalnyWeb">
    <w:name w:val="Normal (Web)"/>
    <w:basedOn w:val="Normalny"/>
    <w:uiPriority w:val="99"/>
    <w:unhideWhenUsed w:val="1"/>
    <w:rsid w:val="00463919"/>
    <w:pPr>
      <w:spacing w:after="100" w:afterAutospacing="1" w:before="100" w:beforeAutospacing="1" w:line="240" w:lineRule="auto"/>
      <w:ind w:left="0" w:right="0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 w:val="1"/>
    <w:rsid w:val="004639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DC0EE1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DB3CD2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6F0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6F0B0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F0B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F0B0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F0B0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80" w:lineRule="auto"/>
      <w:ind w:left="567" w:right="113" w:hanging="2268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i.oleszczuk@cas.org.pl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as.org.pl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terminalkultury.pl" TargetMode="External"/><Relationship Id="rId8" Type="http://schemas.openxmlformats.org/officeDocument/2006/relationships/hyperlink" Target="https://terminalkultury.pl/wydarzenie/moje-rece-krzycza-spekatkl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1hoKdQpZdQya2wldhIBW8L7U4Q==">CgMxLjAyDmgubjR0dG81cjNjaWdmOAByITFOYXFMLW8wSnp1b3FJNmpiZXNhWk9JXy1CcGxLVnlSTA==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2022-03-31T09:12:00Z</dcterms:created>
  <dc:creator>PFR TFI</dc:creator>
</cp:coreProperties>
</file>