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520" w:before="0" w:line="348" w:lineRule="auto"/>
        <w:ind w:left="0" w:right="0" w:firstLine="0"/>
        <w:jc w:val="center"/>
        <w:rPr>
          <w:rFonts w:ascii="Arial" w:cs="Arial" w:eastAsia="Arial" w:hAnsi="Arial"/>
          <w:color w:val="1b1c1d"/>
          <w:sz w:val="22"/>
          <w:szCs w:val="22"/>
          <w:highlight w:val="white"/>
        </w:rPr>
      </w:pPr>
      <w:bookmarkStart w:colFirst="0" w:colLast="0" w:name="_heading=h.42zkruh80y57" w:id="0"/>
      <w:bookmarkEnd w:id="0"/>
      <w:r w:rsidDel="00000000" w:rsidR="00000000" w:rsidRPr="00000000">
        <w:rPr>
          <w:rFonts w:ascii="Arial" w:cs="Arial" w:eastAsia="Arial" w:hAnsi="Arial"/>
          <w:b w:val="0"/>
          <w:color w:val="1b1c1d"/>
          <w:sz w:val="38"/>
          <w:szCs w:val="38"/>
          <w:highlight w:val="whit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000000"/>
          <w:sz w:val="38"/>
          <w:szCs w:val="38"/>
          <w:highlight w:val="white"/>
          <w:rtl w:val="0"/>
        </w:rPr>
        <w:t xml:space="preserve">Archifest. Dni archiwów społecznych”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wydarzenia z okazji Międzynarodowego Dnia Archiwów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highlight w:val="white"/>
          <w:rtl w:val="0"/>
        </w:rPr>
        <w:t xml:space="preserve">6–9 czerwca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„Archifest. Dni archiwów społecznych” to spotkania, wydarzenia i atrakcje organizowane między 6 a 9 czerwca 2025 roku przez 41 archiwów społecznych z 31 miejscowości w Polsce. W ten sposób inicjator akcji – Centrum Archiwistyki Społecznej – zaprasza do wspólnego świętowania Międzynarodowego Dnia Archiwów, który co roku obchodzimy 9 czerwca. </w:t>
      </w:r>
    </w:p>
    <w:p w:rsidR="00000000" w:rsidDel="00000000" w:rsidP="00000000" w:rsidRDefault="00000000" w:rsidRPr="00000000" w14:paraId="00000003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 wydarzeniu wezmą udział różnorodne archiwa społeczne, od lokalnych bibliotek po organizacje pozarządowe i grupy nieformalne. W Gdańsku uczestnicy eksperymentalnego spaceru na bieżąco będą współtworzyć jego trasę, w Toruniu ruszą śladem historii psów i psiego archiwum społecznego, zaś podczas spaceru na warszawskich Siekierkach historia okolicy ukazana zostanie przez historię występującej tam roślinności. Na wystawie w Hrubieszowie mieszkańcy i mieszkanki sami będą tworzyć podpisy do zdjęć ukazujących historię tej miejscowości i w ten sposób dzielić się swoimi wspomnieniami, a wystawie w Kaliszu towarzyszyć będzie dansing w strojach z dwudziestolecia międzywojennego. Do tego warsztaty z tworzenia archiwum domowego, warsztaty dla dzieci czy spotkanie z lokalnym archiwistą. Wreszcie, „Archifest” to spotkania, na których uczestnicy i uczestniczki będą mogli się podzielić swoimi wspomnieniami, spotkać sąsiadów i sąsiadki, poznać ciekawe historie z bliskich okolic. </w:t>
      </w:r>
    </w:p>
    <w:p w:rsidR="00000000" w:rsidDel="00000000" w:rsidP="00000000" w:rsidRDefault="00000000" w:rsidRPr="00000000" w14:paraId="00000005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 sukcesie pierwszego, zeszłorocznego „Archifestu”, w tym roku do zorganizowania wydarzeń ze zbiorami archiwów społecznych w tle zgłosiło się jeszcze więcej organizacji. „Archifest” to okazja, by razem świętować i dzielić się pasją do zbierania i zachowywania śladów przeszłości, które napędzają ruch archiwistyki społecznej. To również szansa na odkrycie wyjątkowych materiałów z tych zbiorów oraz zachęta do zainteresowania się historią swojej rodziny i okolicy. Udział takich inicjatyw w Międzynarodowym Dniu Archiwów przypomina, że archiwa to nie tylko oficjalne dokumenty, ale też osobiste fotografie, listy i nagrania wspomnień.</w:t>
      </w:r>
    </w:p>
    <w:p w:rsidR="00000000" w:rsidDel="00000000" w:rsidP="00000000" w:rsidRDefault="00000000" w:rsidRPr="00000000" w14:paraId="00000007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Obecnie w Polsce istnieje już prawie 850 archiwów społecznych. Ich działalność wspiera powołana pięć lat temu instytucja kultury – Centrum Archiwistyki Społecznej – która edukuje, tworzy narzędzia dla archiwów społecznych i animuje społeczny ruch dokumentowania historii.</w:t>
      </w:r>
    </w:p>
    <w:p w:rsidR="00000000" w:rsidDel="00000000" w:rsidP="00000000" w:rsidRDefault="00000000" w:rsidRPr="00000000" w14:paraId="00000009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Dzięki archiwistkom i archiwistom społecznym nieznane dotąd zbiory zostają ocalone i szeroko udostępnione. Stają się częścią nie tylko archiwum społecznego, ale też – dzięki działaniom animacyjnym – częścią historii wsi, miast i społeczności, których dotyczą. W czasie „Archifestu” możemy zobaczyć „od kuchni” tę niesamowitą działalność, dzięki której zmienia się sposób myślenia o historii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– podkreśla Joanna Łuba, wicedyrektorka Centrum Archiwistyki Społecznej.</w:t>
      </w:r>
    </w:p>
    <w:p w:rsidR="00000000" w:rsidDel="00000000" w:rsidP="00000000" w:rsidRDefault="00000000" w:rsidRPr="00000000" w14:paraId="0000000B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Więcej informacji o „Archifeście. Dniach archiwów społecznych” i program wszystkich wydarzeń na stronie Centrum Archiwistyki Społecznej: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https://tinyurl.com/archifest-2025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Wstęp na wydarzenia w ramach „Archifestu” jest bezpłatny. Na część z nich obowiązują zapisy.</w:t>
      </w:r>
    </w:p>
    <w:p w:rsidR="00000000" w:rsidDel="00000000" w:rsidP="00000000" w:rsidRDefault="00000000" w:rsidRPr="00000000" w14:paraId="0000000F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="240" w:lineRule="auto"/>
        <w:ind w:left="0" w:right="0" w:firstLine="0"/>
        <w:rPr>
          <w:rFonts w:ascii="Arial" w:cs="Arial" w:eastAsia="Arial" w:hAnsi="Arial"/>
          <w:b w:val="1"/>
          <w:color w:val="05050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50505"/>
          <w:sz w:val="22"/>
          <w:szCs w:val="22"/>
          <w:rtl w:val="0"/>
        </w:rPr>
        <w:t xml:space="preserve">Wśród tegorocznych organizatorów wydarzeń znaleźli się: </w:t>
      </w:r>
    </w:p>
    <w:p w:rsidR="00000000" w:rsidDel="00000000" w:rsidP="00000000" w:rsidRDefault="00000000" w:rsidRPr="00000000" w14:paraId="00000012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Fotozoficzne im. Andrzeja Różyckiego przy Uniwersytecie Łódzkim, </w:t>
      </w:r>
    </w:p>
    <w:p w:rsidR="00000000" w:rsidDel="00000000" w:rsidP="00000000" w:rsidRDefault="00000000" w:rsidRPr="00000000" w14:paraId="00000013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Gminy Andrychów,</w:t>
      </w:r>
    </w:p>
    <w:p w:rsidR="00000000" w:rsidDel="00000000" w:rsidP="00000000" w:rsidRDefault="00000000" w:rsidRPr="00000000" w14:paraId="00000014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Przesiedleńców ze wsi Tuligłowy,</w:t>
      </w:r>
    </w:p>
    <w:p w:rsidR="00000000" w:rsidDel="00000000" w:rsidP="00000000" w:rsidRDefault="00000000" w:rsidRPr="00000000" w14:paraId="00000015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Społeczne Chełmionki,</w:t>
      </w:r>
    </w:p>
    <w:p w:rsidR="00000000" w:rsidDel="00000000" w:rsidP="00000000" w:rsidRDefault="00000000" w:rsidRPr="00000000" w14:paraId="00000016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społeczne Domu Kultury „ZACISZE” w Dzielnicy Targówek m.st. Warszawy,</w:t>
      </w:r>
    </w:p>
    <w:p w:rsidR="00000000" w:rsidDel="00000000" w:rsidP="00000000" w:rsidRDefault="00000000" w:rsidRPr="00000000" w14:paraId="00000017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Społeczne Drzew, Cyfrowe Lapidarium Poznania, Żegrze – Historia i Współczesność,</w:t>
      </w:r>
    </w:p>
    <w:p w:rsidR="00000000" w:rsidDel="00000000" w:rsidP="00000000" w:rsidRDefault="00000000" w:rsidRPr="00000000" w14:paraId="00000018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Gminy Samborzec,</w:t>
      </w:r>
    </w:p>
    <w:p w:rsidR="00000000" w:rsidDel="00000000" w:rsidP="00000000" w:rsidRDefault="00000000" w:rsidRPr="00000000" w14:paraId="00000019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Gminy Wiżajny,</w:t>
      </w:r>
    </w:p>
    <w:p w:rsidR="00000000" w:rsidDel="00000000" w:rsidP="00000000" w:rsidRDefault="00000000" w:rsidRPr="00000000" w14:paraId="0000001A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rtl w:val="0"/>
        </w:rPr>
        <w:t xml:space="preserve">Archiwum Społeczne i Kulturalne Fundacji Teatr Teatr</w:t>
      </w: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1B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przy Bibliotece – Centrum Kultury w Szczuczynie,</w:t>
      </w:r>
    </w:p>
    <w:p w:rsidR="00000000" w:rsidDel="00000000" w:rsidP="00000000" w:rsidRDefault="00000000" w:rsidRPr="00000000" w14:paraId="0000001C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Społeczne Sulejówka,</w:t>
      </w:r>
    </w:p>
    <w:p w:rsidR="00000000" w:rsidDel="00000000" w:rsidP="00000000" w:rsidRDefault="00000000" w:rsidRPr="00000000" w14:paraId="0000001D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Społeczne wsi i gminy Krynice,</w:t>
      </w:r>
    </w:p>
    <w:p w:rsidR="00000000" w:rsidDel="00000000" w:rsidP="00000000" w:rsidRDefault="00000000" w:rsidRPr="00000000" w14:paraId="0000001E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Stowarzyszenia Opowiadacze Historii Dolnego Miasta w Gdańsku,</w:t>
      </w:r>
    </w:p>
    <w:p w:rsidR="00000000" w:rsidDel="00000000" w:rsidP="00000000" w:rsidRDefault="00000000" w:rsidRPr="00000000" w14:paraId="0000001F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Archiwum Twórczości Krzysztofa Kieślowskiego,</w:t>
      </w:r>
    </w:p>
    <w:p w:rsidR="00000000" w:rsidDel="00000000" w:rsidP="00000000" w:rsidRDefault="00000000" w:rsidRPr="00000000" w14:paraId="00000020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ZWHP Szare Polówki,</w:t>
      </w:r>
    </w:p>
    <w:p w:rsidR="00000000" w:rsidDel="00000000" w:rsidP="00000000" w:rsidRDefault="00000000" w:rsidRPr="00000000" w14:paraId="00000021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Białostocki Ośrodek Kultury – Mediateka CLZ – archiwum historii mówionej,</w:t>
      </w:r>
    </w:p>
    <w:p w:rsidR="00000000" w:rsidDel="00000000" w:rsidP="00000000" w:rsidRDefault="00000000" w:rsidRPr="00000000" w14:paraId="00000022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Biblioteka Publiczna Miasta i Gminy w Łazach,</w:t>
      </w:r>
    </w:p>
    <w:p w:rsidR="00000000" w:rsidDel="00000000" w:rsidP="00000000" w:rsidRDefault="00000000" w:rsidRPr="00000000" w14:paraId="00000023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Cyfrowe Archiwum Gdańskich Dzielnic,</w:t>
      </w:r>
    </w:p>
    <w:p w:rsidR="00000000" w:rsidDel="00000000" w:rsidP="00000000" w:rsidRDefault="00000000" w:rsidRPr="00000000" w14:paraId="00000024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Cyfrowe Archiwum Regionalnego Centrum Kultury Kurpiowskiej im. ks. Władysława Skierkowskiego w Myszyńcu,</w:t>
      </w:r>
    </w:p>
    <w:p w:rsidR="00000000" w:rsidDel="00000000" w:rsidP="00000000" w:rsidRDefault="00000000" w:rsidRPr="00000000" w14:paraId="00000025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Cyfrowe Archiwum Tradycji Lokalnej w Górze,</w:t>
      </w:r>
    </w:p>
    <w:p w:rsidR="00000000" w:rsidDel="00000000" w:rsidP="00000000" w:rsidRDefault="00000000" w:rsidRPr="00000000" w14:paraId="00000026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Cyfrowe Archiwum Tradycji Lokalnej w Miejskiej Bibliotece Publicznej w Hrubieszowie,</w:t>
      </w:r>
    </w:p>
    <w:p w:rsidR="00000000" w:rsidDel="00000000" w:rsidP="00000000" w:rsidRDefault="00000000" w:rsidRPr="00000000" w14:paraId="00000027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Cyfrowe Archiwum Ziemi Chrzanowskiej,</w:t>
      </w:r>
    </w:p>
    <w:p w:rsidR="00000000" w:rsidDel="00000000" w:rsidP="00000000" w:rsidRDefault="00000000" w:rsidRPr="00000000" w14:paraId="00000028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Estrada Rzeszowska,</w:t>
      </w:r>
    </w:p>
    <w:p w:rsidR="00000000" w:rsidDel="00000000" w:rsidP="00000000" w:rsidRDefault="00000000" w:rsidRPr="00000000" w14:paraId="00000029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Gminna Biblioteka Publiczna w Skórcu,</w:t>
      </w:r>
    </w:p>
    <w:p w:rsidR="00000000" w:rsidDel="00000000" w:rsidP="00000000" w:rsidRDefault="00000000" w:rsidRPr="00000000" w14:paraId="0000002A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Grochowskie Archiwum Społeczne,</w:t>
      </w:r>
    </w:p>
    <w:p w:rsidR="00000000" w:rsidDel="00000000" w:rsidP="00000000" w:rsidRDefault="00000000" w:rsidRPr="00000000" w14:paraId="0000002B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Jabłko Marcjanny,</w:t>
      </w:r>
    </w:p>
    <w:p w:rsidR="00000000" w:rsidDel="00000000" w:rsidP="00000000" w:rsidRDefault="00000000" w:rsidRPr="00000000" w14:paraId="0000002C">
      <w:pPr>
        <w:spacing w:before="120" w:line="240" w:lineRule="auto"/>
        <w:ind w:left="0" w:right="0" w:firstLine="0"/>
        <w:rPr>
          <w:rFonts w:ascii="Calibri" w:cs="Calibri" w:eastAsia="Calibri" w:hAnsi="Calibri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Janowickie Opowieści,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Korzenie Siekierek,</w:t>
      </w:r>
    </w:p>
    <w:p w:rsidR="00000000" w:rsidDel="00000000" w:rsidP="00000000" w:rsidRDefault="00000000" w:rsidRPr="00000000" w14:paraId="0000002E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Miasto Ogród Sadyba,</w:t>
      </w:r>
    </w:p>
    <w:p w:rsidR="00000000" w:rsidDel="00000000" w:rsidP="00000000" w:rsidRDefault="00000000" w:rsidRPr="00000000" w14:paraId="0000002F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Nowohuckie Archiwum Społeczne,</w:t>
      </w:r>
    </w:p>
    <w:p w:rsidR="00000000" w:rsidDel="00000000" w:rsidP="00000000" w:rsidRDefault="00000000" w:rsidRPr="00000000" w14:paraId="00000030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Ostrzeszowskie Archiwum Społeczne,</w:t>
      </w:r>
    </w:p>
    <w:p w:rsidR="00000000" w:rsidDel="00000000" w:rsidP="00000000" w:rsidRDefault="00000000" w:rsidRPr="00000000" w14:paraId="00000031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Otwarte Społeczne Archiwum Gminy Lesznowola,</w:t>
      </w:r>
    </w:p>
    <w:p w:rsidR="00000000" w:rsidDel="00000000" w:rsidP="00000000" w:rsidRDefault="00000000" w:rsidRPr="00000000" w14:paraId="00000032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Pewnego razu w Wilanowie,</w:t>
      </w:r>
    </w:p>
    <w:p w:rsidR="00000000" w:rsidDel="00000000" w:rsidP="00000000" w:rsidRDefault="00000000" w:rsidRPr="00000000" w14:paraId="00000033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Powiatowe Archiwum Fotograficzne w Środzie Wielkopolskiej,</w:t>
      </w:r>
    </w:p>
    <w:p w:rsidR="00000000" w:rsidDel="00000000" w:rsidP="00000000" w:rsidRDefault="00000000" w:rsidRPr="00000000" w14:paraId="00000034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Psie Archiwum Społeczne,</w:t>
      </w:r>
    </w:p>
    <w:p w:rsidR="00000000" w:rsidDel="00000000" w:rsidP="00000000" w:rsidRDefault="00000000" w:rsidRPr="00000000" w14:paraId="00000035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QueerMuzeum, </w:t>
      </w:r>
    </w:p>
    <w:p w:rsidR="00000000" w:rsidDel="00000000" w:rsidP="00000000" w:rsidRDefault="00000000" w:rsidRPr="00000000" w14:paraId="00000036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Regionalne Archiwum Społeczne Konstancin-Jeziorna,</w:t>
      </w:r>
    </w:p>
    <w:p w:rsidR="00000000" w:rsidDel="00000000" w:rsidP="00000000" w:rsidRDefault="00000000" w:rsidRPr="00000000" w14:paraId="00000037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Społeczne Archiwum Cyfrowe 58100,</w:t>
      </w:r>
    </w:p>
    <w:p w:rsidR="00000000" w:rsidDel="00000000" w:rsidP="00000000" w:rsidRDefault="00000000" w:rsidRPr="00000000" w14:paraId="00000038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Społeczne Archiwum Kaliszan,</w:t>
      </w:r>
    </w:p>
    <w:p w:rsidR="00000000" w:rsidDel="00000000" w:rsidP="00000000" w:rsidRDefault="00000000" w:rsidRPr="00000000" w14:paraId="00000039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Społeczne Archiwum Warszawy,</w:t>
      </w:r>
    </w:p>
    <w:p w:rsidR="00000000" w:rsidDel="00000000" w:rsidP="00000000" w:rsidRDefault="00000000" w:rsidRPr="00000000" w14:paraId="0000003A">
      <w:pPr>
        <w:spacing w:before="120" w:line="240" w:lineRule="auto"/>
        <w:ind w:left="0" w:right="0" w:firstLine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Wolskie Regionalia.</w:t>
      </w:r>
    </w:p>
    <w:p w:rsidR="00000000" w:rsidDel="00000000" w:rsidP="00000000" w:rsidRDefault="00000000" w:rsidRPr="00000000" w14:paraId="0000003B">
      <w:pPr>
        <w:spacing w:before="120" w:line="240" w:lineRule="auto"/>
        <w:ind w:left="0" w:right="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0"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o Centrum Archiwistyki Społecznej: </w:t>
      </w:r>
    </w:p>
    <w:p w:rsidR="00000000" w:rsidDel="00000000" w:rsidP="00000000" w:rsidRDefault="00000000" w:rsidRPr="00000000" w14:paraId="0000003D">
      <w:pPr>
        <w:spacing w:line="276" w:lineRule="auto"/>
        <w:ind w:left="0" w:right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Instytucja kultury założona przez Fundację Ośrodka KARTA i Ministra Kultury i Dziedzictwa Narodowego. Centrum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rozwija ruch archiwistyki społecznej w Polsce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dzieli się wiedzą, popularyzuje ideę oraz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pomaga w tworzeniu nowych archiwów społecznych i utrwalaniu ich dorobku.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right="0"/>
        <w:jc w:val="both"/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informacji: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https://cas.org.pl/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Kontakt dla mediów:</w:t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6"/>
          <w:szCs w:val="26"/>
          <w:rtl w:val="0"/>
        </w:rPr>
        <w:t xml:space="preserve">Iwona Oleszczuk-Jaźwiecka</w:t>
        <w:br w:type="textWrapping"/>
        <w:t xml:space="preserve">Centrum Archiwistyki Społecznej</w:t>
        <w:br w:type="textWrapping"/>
        <w:t xml:space="preserve">tel. 531 30 14 87 </w:t>
        <w:br w:type="textWrapping"/>
        <w:t xml:space="preserve">e-mail: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2410" w:top="2977" w:left="1417" w:right="1417" w:header="851" w:footer="1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tab/>
      <w:tab/>
      <w:tab/>
      <w:br w:type="textWrapping"/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b="0" l="0" r="0" t="0"/>
          <wp:wrapNone/>
          <wp:docPr id="2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spacing w:after="240" w:before="240" w:line="240" w:lineRule="auto"/>
      <w:ind w:left="0" w:right="0" w:firstLine="0"/>
      <w:rPr>
        <w:color w:val="05050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-86354</wp:posOffset>
          </wp:positionV>
          <wp:extent cx="1584325" cy="503030"/>
          <wp:effectExtent b="0" l="0" r="0" t="0"/>
          <wp:wrapNone/>
          <wp:docPr id="2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-90164</wp:posOffset>
          </wp:positionH>
          <wp:positionV relativeFrom="paragraph">
            <wp:posOffset>-45078</wp:posOffset>
          </wp:positionV>
          <wp:extent cx="1035170" cy="762000"/>
          <wp:effectExtent b="0" l="0" r="0" t="0"/>
          <wp:wrapNone/>
          <wp:docPr id="2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22.05.2025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-90164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2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chia" w:cs="Archia" w:eastAsia="Archia" w:hAnsi="Archia"/>
        <w:color w:val="000f52"/>
        <w:sz w:val="18"/>
        <w:szCs w:val="18"/>
        <w:lang w:val="pl-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70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DB3CD2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F0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6F0B0C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6F0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6F0B0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6F0B0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70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i.oleszczuk@cas.org.pl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.org.pl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inyurl.com/archifest-2025" TargetMode="External"/><Relationship Id="rId8" Type="http://schemas.openxmlformats.org/officeDocument/2006/relationships/hyperlink" Target="https://cas.org.p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iT+zqDFW/N1xh5sXG9oPJ4kYQ==">CgMxLjAyDmguNDJ6a3J1aDgweTU3OAByITFiQndEdnJ0TEpBcnI1Y25GWXB6RWVEWUVQdHdXVEhyWQ==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PFR TFI</dc:creator>
</cp:coreProperties>
</file>